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3BCFC" w14:textId="77777777" w:rsidR="00DC1331" w:rsidRDefault="00EA2564">
      <w:pPr>
        <w:spacing w:after="191" w:line="259" w:lineRule="auto"/>
        <w:ind w:left="0" w:right="0" w:firstLine="0"/>
      </w:pPr>
      <w:r>
        <w:rPr>
          <w:sz w:val="12"/>
        </w:rPr>
        <w:t xml:space="preserve"> </w:t>
      </w:r>
    </w:p>
    <w:p w14:paraId="6605E304" w14:textId="77777777" w:rsidR="00DC1331" w:rsidRDefault="00EA2564">
      <w:pPr>
        <w:spacing w:after="0" w:line="259" w:lineRule="auto"/>
        <w:ind w:left="-6838" w:right="-14"/>
        <w:jc w:val="right"/>
      </w:pPr>
      <w:r>
        <w:rPr>
          <w:noProof/>
        </w:rPr>
        <w:drawing>
          <wp:anchor distT="0" distB="0" distL="114300" distR="114300" simplePos="0" relativeHeight="251658240" behindDoc="0" locked="0" layoutInCell="1" allowOverlap="0" wp14:anchorId="32D57D19" wp14:editId="432CF868">
            <wp:simplePos x="0" y="0"/>
            <wp:positionH relativeFrom="column">
              <wp:posOffset>-359727</wp:posOffset>
            </wp:positionH>
            <wp:positionV relativeFrom="paragraph">
              <wp:posOffset>-82506</wp:posOffset>
            </wp:positionV>
            <wp:extent cx="2219198" cy="434975"/>
            <wp:effectExtent l="0" t="0" r="0" b="0"/>
            <wp:wrapSquare wrapText="bothSides"/>
            <wp:docPr id="35" name="Picture 35"/>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5"/>
                    <a:stretch>
                      <a:fillRect/>
                    </a:stretch>
                  </pic:blipFill>
                  <pic:spPr>
                    <a:xfrm>
                      <a:off x="0" y="0"/>
                      <a:ext cx="2219198" cy="434975"/>
                    </a:xfrm>
                    <a:prstGeom prst="rect">
                      <a:avLst/>
                    </a:prstGeom>
                  </pic:spPr>
                </pic:pic>
              </a:graphicData>
            </a:graphic>
          </wp:anchor>
        </w:drawing>
      </w:r>
      <w:r>
        <w:t xml:space="preserve">1 december 2025 </w:t>
      </w:r>
    </w:p>
    <w:p w14:paraId="0AE2F7A2" w14:textId="77777777" w:rsidR="00DC1331" w:rsidRDefault="00EA2564">
      <w:pPr>
        <w:spacing w:after="0" w:line="259" w:lineRule="auto"/>
        <w:ind w:left="-6838" w:right="-14"/>
        <w:jc w:val="right"/>
      </w:pPr>
      <w:r>
        <w:t xml:space="preserve">Beslutad av förbundsstyrelsen </w:t>
      </w:r>
    </w:p>
    <w:p w14:paraId="4042B9E6" w14:textId="77777777" w:rsidR="00DC1331" w:rsidRDefault="00EA2564">
      <w:pPr>
        <w:spacing w:after="0" w:line="259" w:lineRule="auto"/>
        <w:ind w:left="2932" w:right="0" w:firstLine="0"/>
      </w:pPr>
      <w:r>
        <w:t xml:space="preserve"> </w:t>
      </w:r>
    </w:p>
    <w:p w14:paraId="5AE2814C" w14:textId="77777777" w:rsidR="00DC1331" w:rsidRDefault="00EA2564">
      <w:pPr>
        <w:spacing w:after="1268" w:line="259" w:lineRule="auto"/>
        <w:ind w:left="0" w:right="0" w:firstLine="0"/>
      </w:pPr>
      <w:r>
        <w:t xml:space="preserve"> </w:t>
      </w:r>
    </w:p>
    <w:p w14:paraId="3E872B28" w14:textId="77777777" w:rsidR="00DC1331" w:rsidRDefault="00EA2564">
      <w:pPr>
        <w:spacing w:after="131" w:line="259" w:lineRule="auto"/>
        <w:ind w:left="0" w:right="0" w:firstLine="0"/>
      </w:pPr>
      <w:r>
        <w:rPr>
          <w:rFonts w:ascii="Century Gothic" w:eastAsia="Century Gothic" w:hAnsi="Century Gothic" w:cs="Century Gothic"/>
          <w:b/>
          <w:color w:val="4D7955"/>
          <w:sz w:val="44"/>
        </w:rPr>
        <w:t xml:space="preserve">Förbundsplan Sveriges Lärare 2026 </w:t>
      </w:r>
    </w:p>
    <w:p w14:paraId="628F829C" w14:textId="77777777" w:rsidR="00DC1331" w:rsidRDefault="00EA2564">
      <w:pPr>
        <w:pStyle w:val="Rubrik1"/>
        <w:ind w:left="-5"/>
      </w:pPr>
      <w:r>
        <w:t xml:space="preserve">Inledning  </w:t>
      </w:r>
    </w:p>
    <w:p w14:paraId="369275C9" w14:textId="77777777" w:rsidR="00DC1331" w:rsidRDefault="00EA2564">
      <w:pPr>
        <w:ind w:left="-5" w:right="982"/>
      </w:pPr>
      <w:r>
        <w:t xml:space="preserve">2026 fortsätter Sveriges Lärare sitt målmedvetna arbete med att verkställa kongressens beslut och det är en förbundsgemensam uppgift för såväl medlemmar som förtroendevalda med stöd av förbundets kanslipersonal att leverera på kongressens beslut.  </w:t>
      </w:r>
    </w:p>
    <w:p w14:paraId="2BBD7511" w14:textId="77777777" w:rsidR="00DC1331" w:rsidRDefault="00EA2564">
      <w:pPr>
        <w:ind w:left="-5" w:right="982"/>
      </w:pPr>
      <w:r>
        <w:t xml:space="preserve">Namnbytet från ”verksamhetsplan” till ”förbundsplan” är för att betona att det är ett </w:t>
      </w:r>
      <w:r>
        <w:t xml:space="preserve">förbundsgemensamt åtagande och ett gemensamt arbete som kommer att leda till resultat. Förbundsplanen blir då vägledande för hela förbundet med dess föreningar, distrikt och kansli.  </w:t>
      </w:r>
    </w:p>
    <w:p w14:paraId="1E40C6DF" w14:textId="77777777" w:rsidR="00DC1331" w:rsidRDefault="00EA2564">
      <w:pPr>
        <w:ind w:left="-5" w:right="982"/>
      </w:pPr>
      <w:r>
        <w:t xml:space="preserve">Förbundet behöver ha ett fortsatt fokus på att ha en framtidssäkrad och effektiv organisation med budget i balans, dvs att medlemmarnas avgifter används på bästa sätt.  </w:t>
      </w:r>
    </w:p>
    <w:p w14:paraId="361A2D9B" w14:textId="77777777" w:rsidR="00DC1331" w:rsidRDefault="00EA2564">
      <w:pPr>
        <w:spacing w:after="342"/>
        <w:ind w:left="-5" w:right="982"/>
      </w:pPr>
      <w:r>
        <w:t xml:space="preserve">Särskilda händelser under 2026 är de allmänna val som äger rum på lokal, regional och nationell nivå i september 2026, vilket kommer att kräva förbundets agerande på olika sätt under året.  </w:t>
      </w:r>
    </w:p>
    <w:p w14:paraId="25546FEC" w14:textId="77777777" w:rsidR="00DC1331" w:rsidRDefault="00EA2564">
      <w:pPr>
        <w:pStyle w:val="Rubrik1"/>
        <w:ind w:left="-5"/>
      </w:pPr>
      <w:r>
        <w:t xml:space="preserve">Förbundsplan för Sveriges Lärare 2026  </w:t>
      </w:r>
    </w:p>
    <w:p w14:paraId="335677B1" w14:textId="77777777" w:rsidR="00DC1331" w:rsidRDefault="00EA2564">
      <w:pPr>
        <w:ind w:left="-5" w:right="982"/>
      </w:pPr>
      <w:r>
        <w:t xml:space="preserve">Målen är till viss del språkligt justerade i jämförelse med de för 2025, men innehållet och riktningen är i allt väsentligt samma som för 2025.  </w:t>
      </w:r>
    </w:p>
    <w:p w14:paraId="173A9BAB" w14:textId="77777777" w:rsidR="00DC1331" w:rsidRDefault="00EA2564">
      <w:pPr>
        <w:numPr>
          <w:ilvl w:val="0"/>
          <w:numId w:val="1"/>
        </w:numPr>
        <w:spacing w:after="2"/>
        <w:ind w:right="982" w:hanging="280"/>
      </w:pPr>
      <w:r>
        <w:t xml:space="preserve">Säkerställa demokratiska arenor präglade av delaktighet och dialog på alla nivåer i förbundet  </w:t>
      </w:r>
    </w:p>
    <w:p w14:paraId="3E72A4D8" w14:textId="77777777" w:rsidR="00DC1331" w:rsidRDefault="00EA2564">
      <w:pPr>
        <w:spacing w:after="32" w:line="259" w:lineRule="auto"/>
        <w:ind w:left="566" w:right="0" w:firstLine="0"/>
      </w:pPr>
      <w:r>
        <w:t xml:space="preserve"> </w:t>
      </w:r>
    </w:p>
    <w:p w14:paraId="4F2AD560" w14:textId="77777777" w:rsidR="00DC1331" w:rsidRDefault="00EA2564">
      <w:pPr>
        <w:numPr>
          <w:ilvl w:val="0"/>
          <w:numId w:val="1"/>
        </w:numPr>
        <w:spacing w:after="6"/>
        <w:ind w:right="982" w:hanging="280"/>
      </w:pPr>
      <w:r>
        <w:t xml:space="preserve">Rekrytera fler medlemmar och därmed öka vår fackliga styrka  </w:t>
      </w:r>
    </w:p>
    <w:p w14:paraId="394894B9" w14:textId="77777777" w:rsidR="00DC1331" w:rsidRDefault="00EA2564">
      <w:pPr>
        <w:spacing w:after="37" w:line="259" w:lineRule="auto"/>
        <w:ind w:left="566" w:right="0" w:firstLine="0"/>
      </w:pPr>
      <w:r>
        <w:t xml:space="preserve"> </w:t>
      </w:r>
    </w:p>
    <w:p w14:paraId="307E56AC" w14:textId="77777777" w:rsidR="00DC1331" w:rsidRDefault="00EA2564">
      <w:pPr>
        <w:numPr>
          <w:ilvl w:val="0"/>
          <w:numId w:val="1"/>
        </w:numPr>
        <w:spacing w:after="2"/>
        <w:ind w:right="982" w:hanging="280"/>
      </w:pPr>
      <w:r>
        <w:t xml:space="preserve">Stärka vårt fackliga inflytande lokalt och nationellt, med särskilt fokus på rätt förutsättningar för förtroendevalda i föreningar och på arbetsplatser. Lokalt även genom att fler blir ombud på arbetsplatserna  </w:t>
      </w:r>
    </w:p>
    <w:p w14:paraId="79CFD9AD" w14:textId="77777777" w:rsidR="00DC1331" w:rsidRDefault="00EA2564">
      <w:pPr>
        <w:spacing w:after="37" w:line="259" w:lineRule="auto"/>
        <w:ind w:left="566" w:right="0" w:firstLine="0"/>
      </w:pPr>
      <w:r>
        <w:t xml:space="preserve"> </w:t>
      </w:r>
    </w:p>
    <w:p w14:paraId="35DEAFD8" w14:textId="77777777" w:rsidR="00DC1331" w:rsidRDefault="00EA2564">
      <w:pPr>
        <w:numPr>
          <w:ilvl w:val="0"/>
          <w:numId w:val="1"/>
        </w:numPr>
        <w:ind w:right="982" w:hanging="280"/>
      </w:pPr>
      <w:r>
        <w:t xml:space="preserve">Stärka medlemmars inflytande över sitt professionella uppdrag och säkerställa en långsiktigt hållbar arbetsbelastning, värna kärnuppdraget och främja en uthållig relativlöneutveckling genom att:  </w:t>
      </w:r>
    </w:p>
    <w:p w14:paraId="3B0CBDD2" w14:textId="77777777" w:rsidR="00DC1331" w:rsidRDefault="00EA2564">
      <w:pPr>
        <w:numPr>
          <w:ilvl w:val="1"/>
          <w:numId w:val="1"/>
        </w:numPr>
        <w:ind w:left="791" w:right="982" w:hanging="225"/>
      </w:pPr>
      <w:r>
        <w:t xml:space="preserve">påverka politiken lokalt och nationellt  </w:t>
      </w:r>
    </w:p>
    <w:p w14:paraId="72DAFEA6" w14:textId="77777777" w:rsidR="00DC1331" w:rsidRDefault="00EA2564">
      <w:pPr>
        <w:numPr>
          <w:ilvl w:val="1"/>
          <w:numId w:val="1"/>
        </w:numPr>
        <w:spacing w:after="1168"/>
        <w:ind w:left="791" w:right="982" w:hanging="225"/>
      </w:pPr>
      <w:r>
        <w:t xml:space="preserve">teckna nationella och lokala kollektivavtal samt förhandla och samverka med  arbetsgivarparten  </w:t>
      </w:r>
    </w:p>
    <w:p w14:paraId="56680C95" w14:textId="77777777" w:rsidR="00DC1331" w:rsidRDefault="00EA2564">
      <w:pPr>
        <w:spacing w:after="0" w:line="259" w:lineRule="auto"/>
        <w:ind w:left="0" w:right="0" w:firstLine="0"/>
      </w:pPr>
      <w:r>
        <w:rPr>
          <w:rFonts w:ascii="Segoe UI" w:eastAsia="Segoe UI" w:hAnsi="Segoe UI" w:cs="Segoe UI"/>
          <w:sz w:val="16"/>
        </w:rPr>
        <w:lastRenderedPageBreak/>
        <w:t xml:space="preserve"> </w:t>
      </w:r>
    </w:p>
    <w:p w14:paraId="70B787B8" w14:textId="77777777" w:rsidR="00DC1331" w:rsidRDefault="00EA2564">
      <w:pPr>
        <w:spacing w:after="99" w:line="259" w:lineRule="auto"/>
        <w:ind w:left="0" w:right="0" w:firstLine="0"/>
      </w:pPr>
      <w:r>
        <w:rPr>
          <w:rFonts w:ascii="Calibri" w:eastAsia="Calibri" w:hAnsi="Calibri" w:cs="Calibri"/>
          <w:noProof/>
          <w:sz w:val="22"/>
        </w:rPr>
        <mc:AlternateContent>
          <mc:Choice Requires="wpg">
            <w:drawing>
              <wp:inline distT="0" distB="0" distL="0" distR="0" wp14:anchorId="2F427CD5" wp14:editId="24BBC30F">
                <wp:extent cx="5403215" cy="6350"/>
                <wp:effectExtent l="0" t="0" r="0" b="0"/>
                <wp:docPr id="903" name="Group 903"/>
                <wp:cNvGraphicFramePr/>
                <a:graphic xmlns:a="http://schemas.openxmlformats.org/drawingml/2006/main">
                  <a:graphicData uri="http://schemas.microsoft.com/office/word/2010/wordprocessingGroup">
                    <wpg:wgp>
                      <wpg:cNvGrpSpPr/>
                      <wpg:grpSpPr>
                        <a:xfrm>
                          <a:off x="0" y="0"/>
                          <a:ext cx="5403215" cy="6350"/>
                          <a:chOff x="0" y="0"/>
                          <a:chExt cx="5403215" cy="6350"/>
                        </a:xfrm>
                      </wpg:grpSpPr>
                      <wps:wsp>
                        <wps:cNvPr id="1160" name="Shape 1160"/>
                        <wps:cNvSpPr/>
                        <wps:spPr>
                          <a:xfrm>
                            <a:off x="0" y="0"/>
                            <a:ext cx="4774311" cy="9144"/>
                          </a:xfrm>
                          <a:custGeom>
                            <a:avLst/>
                            <a:gdLst/>
                            <a:ahLst/>
                            <a:cxnLst/>
                            <a:rect l="0" t="0" r="0" b="0"/>
                            <a:pathLst>
                              <a:path w="4774311" h="9144">
                                <a:moveTo>
                                  <a:pt x="0" y="0"/>
                                </a:moveTo>
                                <a:lnTo>
                                  <a:pt x="4774311" y="0"/>
                                </a:lnTo>
                                <a:lnTo>
                                  <a:pt x="4774311" y="9144"/>
                                </a:lnTo>
                                <a:lnTo>
                                  <a:pt x="0" y="9144"/>
                                </a:lnTo>
                                <a:lnTo>
                                  <a:pt x="0" y="0"/>
                                </a:lnTo>
                              </a:path>
                            </a:pathLst>
                          </a:custGeom>
                          <a:ln w="0" cap="flat">
                            <a:miter lim="127000"/>
                          </a:ln>
                        </wps:spPr>
                        <wps:style>
                          <a:lnRef idx="0">
                            <a:srgbClr val="000000">
                              <a:alpha val="0"/>
                            </a:srgbClr>
                          </a:lnRef>
                          <a:fillRef idx="1">
                            <a:srgbClr val="13504F"/>
                          </a:fillRef>
                          <a:effectRef idx="0">
                            <a:scrgbClr r="0" g="0" b="0"/>
                          </a:effectRef>
                          <a:fontRef idx="none"/>
                        </wps:style>
                        <wps:bodyPr/>
                      </wps:wsp>
                      <wps:wsp>
                        <wps:cNvPr id="1161" name="Shape 1161"/>
                        <wps:cNvSpPr/>
                        <wps:spPr>
                          <a:xfrm>
                            <a:off x="477424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13504F"/>
                          </a:fillRef>
                          <a:effectRef idx="0">
                            <a:scrgbClr r="0" g="0" b="0"/>
                          </a:effectRef>
                          <a:fontRef idx="none"/>
                        </wps:style>
                        <wps:bodyPr/>
                      </wps:wsp>
                      <wps:wsp>
                        <wps:cNvPr id="1162" name="Shape 1162"/>
                        <wps:cNvSpPr/>
                        <wps:spPr>
                          <a:xfrm>
                            <a:off x="4780598" y="0"/>
                            <a:ext cx="622617" cy="9144"/>
                          </a:xfrm>
                          <a:custGeom>
                            <a:avLst/>
                            <a:gdLst/>
                            <a:ahLst/>
                            <a:cxnLst/>
                            <a:rect l="0" t="0" r="0" b="0"/>
                            <a:pathLst>
                              <a:path w="622617" h="9144">
                                <a:moveTo>
                                  <a:pt x="0" y="0"/>
                                </a:moveTo>
                                <a:lnTo>
                                  <a:pt x="622617" y="0"/>
                                </a:lnTo>
                                <a:lnTo>
                                  <a:pt x="622617" y="9144"/>
                                </a:lnTo>
                                <a:lnTo>
                                  <a:pt x="0" y="9144"/>
                                </a:lnTo>
                                <a:lnTo>
                                  <a:pt x="0" y="0"/>
                                </a:lnTo>
                              </a:path>
                            </a:pathLst>
                          </a:custGeom>
                          <a:ln w="0" cap="flat">
                            <a:miter lim="127000"/>
                          </a:ln>
                        </wps:spPr>
                        <wps:style>
                          <a:lnRef idx="0">
                            <a:srgbClr val="000000">
                              <a:alpha val="0"/>
                            </a:srgbClr>
                          </a:lnRef>
                          <a:fillRef idx="1">
                            <a:srgbClr val="13504F"/>
                          </a:fillRef>
                          <a:effectRef idx="0">
                            <a:scrgbClr r="0" g="0" b="0"/>
                          </a:effectRef>
                          <a:fontRef idx="none"/>
                        </wps:style>
                        <wps:bodyPr/>
                      </wps:wsp>
                    </wpg:wgp>
                  </a:graphicData>
                </a:graphic>
              </wp:inline>
            </w:drawing>
          </mc:Choice>
          <mc:Fallback xmlns:a="http://schemas.openxmlformats.org/drawingml/2006/main">
            <w:pict>
              <v:group id="Group 903" style="width:425.45pt;height:0.5pt;mso-position-horizontal-relative:char;mso-position-vertical-relative:line" coordsize="54032,63">
                <v:shape id="Shape 1163" style="position:absolute;width:47743;height:91;left:0;top:0;" coordsize="4774311,9144" path="m0,0l4774311,0l4774311,9144l0,9144l0,0">
                  <v:stroke weight="0pt" endcap="flat" joinstyle="miter" miterlimit="10" on="false" color="#000000" opacity="0"/>
                  <v:fill on="true" color="#13504f"/>
                </v:shape>
                <v:shape id="Shape 1164" style="position:absolute;width:91;height:91;left:47742;top:0;" coordsize="9144,9144" path="m0,0l9144,0l9144,9144l0,9144l0,0">
                  <v:stroke weight="0pt" endcap="flat" joinstyle="miter" miterlimit="10" on="false" color="#000000" opacity="0"/>
                  <v:fill on="true" color="#13504f"/>
                </v:shape>
                <v:shape id="Shape 1165" style="position:absolute;width:6226;height:91;left:47805;top:0;" coordsize="622617,9144" path="m0,0l622617,0l622617,9144l0,9144l0,0">
                  <v:stroke weight="0pt" endcap="flat" joinstyle="miter" miterlimit="10" on="false" color="#000000" opacity="0"/>
                  <v:fill on="true" color="#13504f"/>
                </v:shape>
              </v:group>
            </w:pict>
          </mc:Fallback>
        </mc:AlternateContent>
      </w:r>
    </w:p>
    <w:p w14:paraId="4BDE84A5" w14:textId="77777777" w:rsidR="00DC1331" w:rsidRDefault="00EA2564">
      <w:pPr>
        <w:spacing w:after="19" w:line="259" w:lineRule="auto"/>
        <w:ind w:left="0" w:right="0" w:firstLine="0"/>
      </w:pPr>
      <w:r>
        <w:rPr>
          <w:rFonts w:ascii="Segoe UI" w:eastAsia="Segoe UI" w:hAnsi="Segoe UI" w:cs="Segoe UI"/>
          <w:b/>
          <w:color w:val="13504F"/>
          <w:sz w:val="16"/>
        </w:rPr>
        <w:t xml:space="preserve">Sveriges Lärare </w:t>
      </w:r>
    </w:p>
    <w:p w14:paraId="32938FE0" w14:textId="77777777" w:rsidR="00DC1331" w:rsidRDefault="00EA2564">
      <w:pPr>
        <w:spacing w:after="5" w:line="236" w:lineRule="auto"/>
        <w:ind w:left="0" w:right="1067" w:firstLine="0"/>
      </w:pPr>
      <w:r>
        <w:rPr>
          <w:rFonts w:ascii="Segoe UI" w:eastAsia="Segoe UI" w:hAnsi="Segoe UI" w:cs="Segoe UI"/>
          <w:sz w:val="16"/>
        </w:rPr>
        <w:t xml:space="preserve">Box 17061, 104 62 Stockholm • Peter Myndes backe 16, Stockholm • 010-400 40 40 </w:t>
      </w:r>
      <w:r>
        <w:rPr>
          <w:rFonts w:ascii="Segoe UI" w:eastAsia="Segoe UI" w:hAnsi="Segoe UI" w:cs="Segoe UI"/>
          <w:sz w:val="16"/>
        </w:rPr>
        <w:t xml:space="preserve">sverigeslarare.se/kontakt • sverigeslarare.se/blimedlem • sverigeslarare.se/mina-sidor 1 [1] </w:t>
      </w:r>
    </w:p>
    <w:p w14:paraId="6203475C" w14:textId="77777777" w:rsidR="00DC1331" w:rsidRDefault="00EA2564">
      <w:pPr>
        <w:spacing w:after="0" w:line="259" w:lineRule="auto"/>
        <w:ind w:left="0" w:right="0" w:firstLine="0"/>
      </w:pPr>
      <w:r>
        <w:rPr>
          <w:rFonts w:ascii="Segoe UI" w:eastAsia="Segoe UI" w:hAnsi="Segoe UI" w:cs="Segoe UI"/>
          <w:sz w:val="16"/>
        </w:rPr>
        <w:t xml:space="preserve"> </w:t>
      </w:r>
    </w:p>
    <w:sectPr w:rsidR="00DC1331">
      <w:pgSz w:w="11905" w:h="16840"/>
      <w:pgMar w:top="1440" w:right="705" w:bottom="1440"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E4301"/>
    <w:multiLevelType w:val="hybridMultilevel"/>
    <w:tmpl w:val="E02EE8F4"/>
    <w:lvl w:ilvl="0" w:tplc="7E808BCE">
      <w:start w:val="1"/>
      <w:numFmt w:val="decimal"/>
      <w:lvlText w:val="%1."/>
      <w:lvlJc w:val="left"/>
      <w:pPr>
        <w:ind w:left="566"/>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1" w:tplc="D256E008">
      <w:start w:val="1"/>
      <w:numFmt w:val="lowerLetter"/>
      <w:lvlText w:val="%2)"/>
      <w:lvlJc w:val="left"/>
      <w:pPr>
        <w:ind w:left="790"/>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2" w:tplc="21DEAFA4">
      <w:start w:val="1"/>
      <w:numFmt w:val="lowerRoman"/>
      <w:lvlText w:val="%3"/>
      <w:lvlJc w:val="left"/>
      <w:pPr>
        <w:ind w:left="1646"/>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3" w:tplc="D08AF968">
      <w:start w:val="1"/>
      <w:numFmt w:val="decimal"/>
      <w:lvlText w:val="%4"/>
      <w:lvlJc w:val="left"/>
      <w:pPr>
        <w:ind w:left="2366"/>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4" w:tplc="9F5AE2D8">
      <w:start w:val="1"/>
      <w:numFmt w:val="lowerLetter"/>
      <w:lvlText w:val="%5"/>
      <w:lvlJc w:val="left"/>
      <w:pPr>
        <w:ind w:left="3086"/>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5" w:tplc="12409E88">
      <w:start w:val="1"/>
      <w:numFmt w:val="lowerRoman"/>
      <w:lvlText w:val="%6"/>
      <w:lvlJc w:val="left"/>
      <w:pPr>
        <w:ind w:left="3806"/>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6" w:tplc="305EDCE0">
      <w:start w:val="1"/>
      <w:numFmt w:val="decimal"/>
      <w:lvlText w:val="%7"/>
      <w:lvlJc w:val="left"/>
      <w:pPr>
        <w:ind w:left="4526"/>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7" w:tplc="3B98BC6E">
      <w:start w:val="1"/>
      <w:numFmt w:val="lowerLetter"/>
      <w:lvlText w:val="%8"/>
      <w:lvlJc w:val="left"/>
      <w:pPr>
        <w:ind w:left="5246"/>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8" w:tplc="7E1EE492">
      <w:start w:val="1"/>
      <w:numFmt w:val="lowerRoman"/>
      <w:lvlText w:val="%9"/>
      <w:lvlJc w:val="left"/>
      <w:pPr>
        <w:ind w:left="5966"/>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abstractNum>
  <w:num w:numId="1" w16cid:durableId="332151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331"/>
    <w:rsid w:val="00974ADF"/>
    <w:rsid w:val="00B86241"/>
    <w:rsid w:val="00DC1331"/>
    <w:rsid w:val="00EA25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8A4AD"/>
  <w15:docId w15:val="{A1A4E81F-78BD-4678-A3E0-FD71CF7B3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4" w:line="296" w:lineRule="auto"/>
      <w:ind w:left="10" w:right="1" w:hanging="10"/>
    </w:pPr>
    <w:rPr>
      <w:rFonts w:ascii="Georgia" w:eastAsia="Georgia" w:hAnsi="Georgia" w:cs="Georgia"/>
      <w:color w:val="000000"/>
      <w:sz w:val="20"/>
    </w:rPr>
  </w:style>
  <w:style w:type="paragraph" w:styleId="Rubrik1">
    <w:name w:val="heading 1"/>
    <w:next w:val="Normal"/>
    <w:link w:val="Rubrik1Char"/>
    <w:uiPriority w:val="9"/>
    <w:qFormat/>
    <w:pPr>
      <w:keepNext/>
      <w:keepLines/>
      <w:spacing w:after="0" w:line="259" w:lineRule="auto"/>
      <w:ind w:left="10" w:hanging="10"/>
      <w:outlineLvl w:val="0"/>
    </w:pPr>
    <w:rPr>
      <w:rFonts w:ascii="Segoe UI" w:eastAsia="Segoe UI" w:hAnsi="Segoe UI" w:cs="Segoe UI"/>
      <w:b/>
      <w:color w:val="000000"/>
      <w:sz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rPr>
      <w:rFonts w:ascii="Segoe UI" w:eastAsia="Segoe UI" w:hAnsi="Segoe UI" w:cs="Segoe UI"/>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329</Words>
  <Characters>1747</Characters>
  <Application>Microsoft Office Word</Application>
  <DocSecurity>0</DocSecurity>
  <Lines>14</Lines>
  <Paragraphs>4</Paragraphs>
  <ScaleCrop>false</ScaleCrop>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Förbundsplan Sveriges Lärare 2026</dc:title>
  <dc:subject/>
  <dc:creator>Sixten Frixon</dc:creator>
  <cp:keywords/>
  <cp:lastModifiedBy>Pernilla Eriksson</cp:lastModifiedBy>
  <cp:revision>2</cp:revision>
  <dcterms:created xsi:type="dcterms:W3CDTF">2026-02-16T06:15:00Z</dcterms:created>
  <dcterms:modified xsi:type="dcterms:W3CDTF">2026-02-16T06:15:00Z</dcterms:modified>
</cp:coreProperties>
</file>