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Verksamhetsberättelse för 2023            Sveriges Lärare Timrå</w:t>
      </w:r>
    </w:p>
    <w:p w:rsidR="00000000" w:rsidDel="00000000" w:rsidP="00000000" w:rsidRDefault="00000000" w:rsidRPr="00000000" w14:paraId="00000002">
      <w:pPr>
        <w:pStyle w:val="Heading2"/>
        <w:rPr/>
      </w:pPr>
      <w:r w:rsidDel="00000000" w:rsidR="00000000" w:rsidRPr="00000000">
        <w:rPr>
          <w:rtl w:val="0"/>
        </w:rPr>
        <w:t xml:space="preserve">Fakta om föreningen</w:t>
      </w:r>
    </w:p>
    <w:p w:rsidR="00000000" w:rsidDel="00000000" w:rsidP="00000000" w:rsidRDefault="00000000" w:rsidRPr="00000000" w14:paraId="00000003">
      <w:pPr>
        <w:rPr>
          <w:sz w:val="22"/>
          <w:szCs w:val="22"/>
        </w:rPr>
      </w:pPr>
      <w:r w:rsidDel="00000000" w:rsidR="00000000" w:rsidRPr="00000000">
        <w:rPr>
          <w:sz w:val="22"/>
          <w:szCs w:val="22"/>
          <w:rtl w:val="0"/>
        </w:rPr>
        <w:t xml:space="preserve">Antal medlemmar i föreningen: 363 yrkesverksamma medlemmar, 103 pensionärer. </w:t>
      </w:r>
    </w:p>
    <w:p w:rsidR="00000000" w:rsidDel="00000000" w:rsidP="00000000" w:rsidRDefault="00000000" w:rsidRPr="00000000" w14:paraId="00000004">
      <w:pPr>
        <w:rPr>
          <w:sz w:val="22"/>
          <w:szCs w:val="22"/>
        </w:rPr>
      </w:pPr>
      <w:r w:rsidDel="00000000" w:rsidR="00000000" w:rsidRPr="00000000">
        <w:rPr>
          <w:sz w:val="22"/>
          <w:szCs w:val="22"/>
          <w:rtl w:val="0"/>
        </w:rPr>
        <w:t xml:space="preserve">I styrelsen har följande personer ingått: Anki Meander ordförande och förhandlingsombud, Linn Jansson huvudskyddsombud och förhandlingsombud, Gunilla Norberg ledamot, Carina Åkerlund ledamot, Hannah Löfstrand ledamot och kassör. Övriga förtroendevalda är Pernilla Höglund revisor och Ida Sidén valberedning.</w:t>
      </w:r>
    </w:p>
    <w:p w:rsidR="00000000" w:rsidDel="00000000" w:rsidP="00000000" w:rsidRDefault="00000000" w:rsidRPr="00000000" w14:paraId="00000005">
      <w:pPr>
        <w:rPr>
          <w:sz w:val="22"/>
          <w:szCs w:val="22"/>
        </w:rPr>
      </w:pPr>
      <w:r w:rsidDel="00000000" w:rsidR="00000000" w:rsidRPr="00000000">
        <w:rPr>
          <w:sz w:val="22"/>
          <w:szCs w:val="22"/>
          <w:rtl w:val="0"/>
        </w:rPr>
        <w:t xml:space="preserve">Vi har under år</w:t>
      </w:r>
      <w:r w:rsidDel="00000000" w:rsidR="00000000" w:rsidRPr="00000000">
        <w:rPr>
          <w:sz w:val="22"/>
          <w:szCs w:val="22"/>
          <w:rtl w:val="0"/>
        </w:rPr>
        <w:t xml:space="preserve">et haft </w:t>
      </w:r>
      <w:r w:rsidDel="00000000" w:rsidR="00000000" w:rsidRPr="00000000">
        <w:rPr>
          <w:sz w:val="22"/>
          <w:szCs w:val="22"/>
          <w:rtl w:val="0"/>
        </w:rPr>
        <w:t xml:space="preserve">fyra protokollförda styrelsemöten.</w:t>
      </w:r>
    </w:p>
    <w:p w:rsidR="00000000" w:rsidDel="00000000" w:rsidP="00000000" w:rsidRDefault="00000000" w:rsidRPr="00000000" w14:paraId="00000006">
      <w:pPr>
        <w:pStyle w:val="Heading2"/>
        <w:rPr/>
      </w:pPr>
      <w:r w:rsidDel="00000000" w:rsidR="00000000" w:rsidRPr="00000000">
        <w:rPr>
          <w:rtl w:val="0"/>
        </w:rPr>
        <w:t xml:space="preserve">Viktiga händelser under året </w:t>
      </w:r>
    </w:p>
    <w:p w:rsidR="00000000" w:rsidDel="00000000" w:rsidP="00000000" w:rsidRDefault="00000000" w:rsidRPr="00000000" w14:paraId="00000007">
      <w:pPr>
        <w:spacing w:after="0" w:before="240" w:lineRule="auto"/>
        <w:rPr>
          <w:sz w:val="22"/>
          <w:szCs w:val="22"/>
        </w:rPr>
      </w:pPr>
      <w:r w:rsidDel="00000000" w:rsidR="00000000" w:rsidRPr="00000000">
        <w:rPr>
          <w:sz w:val="22"/>
          <w:szCs w:val="22"/>
          <w:rtl w:val="0"/>
        </w:rPr>
        <w:t xml:space="preserve">Nu är vi professionens samlade styrka i Sveriges Lärare. Detta ger oss ökade möjligheter och förutsättningar för vårt arbete med att förbättra villkor för alla våra medlemmar i samtliga skolformer. Arbetet innebär att vi kontinuerligt synliggör arbetsbördan och verkar för en förbättrad arbetsmiljö.</w:t>
      </w:r>
    </w:p>
    <w:p w:rsidR="00000000" w:rsidDel="00000000" w:rsidP="00000000" w:rsidRDefault="00000000" w:rsidRPr="00000000" w14:paraId="00000008">
      <w:pPr>
        <w:spacing w:after="0" w:before="240" w:lineRule="auto"/>
        <w:rPr>
          <w:i w:val="1"/>
          <w:sz w:val="22"/>
          <w:szCs w:val="22"/>
        </w:rPr>
      </w:pPr>
      <w:r w:rsidDel="00000000" w:rsidR="00000000" w:rsidRPr="00000000">
        <w:rPr>
          <w:sz w:val="22"/>
          <w:szCs w:val="22"/>
          <w:rtl w:val="0"/>
        </w:rPr>
        <w:t xml:space="preserve">Förbundsstyrelsen skriver följande i sin utvärdering:</w:t>
      </w:r>
      <w:r w:rsidDel="00000000" w:rsidR="00000000" w:rsidRPr="00000000">
        <w:rPr>
          <w:rtl w:val="0"/>
        </w:rPr>
      </w:r>
    </w:p>
    <w:p w:rsidR="00000000" w:rsidDel="00000000" w:rsidP="00000000" w:rsidRDefault="00000000" w:rsidRPr="00000000" w14:paraId="00000009">
      <w:pPr>
        <w:spacing w:after="0" w:lineRule="auto"/>
        <w:ind w:left="1300" w:firstLine="0"/>
        <w:rPr>
          <w:i w:val="1"/>
          <w:color w:val="0070c0"/>
          <w:sz w:val="22"/>
          <w:szCs w:val="22"/>
        </w:rPr>
      </w:pPr>
      <w:r w:rsidDel="00000000" w:rsidR="00000000" w:rsidRPr="00000000">
        <w:rPr>
          <w:i w:val="1"/>
          <w:sz w:val="22"/>
          <w:szCs w:val="22"/>
          <w:rtl w:val="0"/>
        </w:rPr>
        <w:t xml:space="preserve">Sveriges största akademikerförbund, Sveriges Lärare, bildades den 1 januari 2023 för att samla lärarprofessionen. Sveriges Lärare är och behöver vara en tydlig röst i debatten och i påverkansarbetet lokalt och nationellt för ökad medlemsnytta. Genom att samla alla lärare och studie- och yrkesvägledare i ett förbund stärker vi vårt förhandlingsläge. Etableringen av Sveriges Lärare är inne i sin slutfas. Förbundets långsiktiga mål är att bli den viktigaste agendasättaren för ett starkt kunskapssamhälle och en utvecklande, hållbar och stolt lärarprofession. Sveriges Lärare behöver fortsätta kraftsamla och prioritera den gemensamma verksamheten i förbundet. Med kraft och kunskap bildar vi Sverige.</w:t>
      </w:r>
      <w:r w:rsidDel="00000000" w:rsidR="00000000" w:rsidRPr="00000000">
        <w:rPr>
          <w:rtl w:val="0"/>
        </w:rPr>
      </w:r>
    </w:p>
    <w:p w:rsidR="00000000" w:rsidDel="00000000" w:rsidP="00000000" w:rsidRDefault="00000000" w:rsidRPr="00000000" w14:paraId="0000000A">
      <w:pPr>
        <w:spacing w:after="0" w:before="240" w:lineRule="auto"/>
        <w:rPr/>
      </w:pPr>
      <w:r w:rsidDel="00000000" w:rsidR="00000000" w:rsidRPr="00000000">
        <w:rPr>
          <w:sz w:val="22"/>
          <w:szCs w:val="22"/>
          <w:rtl w:val="0"/>
        </w:rPr>
        <w:t xml:space="preserve">Timrås </w:t>
      </w:r>
      <w:r w:rsidDel="00000000" w:rsidR="00000000" w:rsidRPr="00000000">
        <w:rPr>
          <w:sz w:val="22"/>
          <w:szCs w:val="22"/>
          <w:rtl w:val="0"/>
        </w:rPr>
        <w:t xml:space="preserve">lokalförening för Sveriges Lärare har under året funnits med i olika sammanhang där vi har möjlighet att förbättra villkoren för lärarkåren i kommunen. Vi har påtalat, analyserat, kartlagt, belyst och riskbedömt olika frågor, allt i syfte att förbättra situationen för våra medlemmar. Detta arbete har pågått både i mötet med våra medlemmar, på ombudsträffar och i samverkan på förvaltningsnivå likväl som central nivå i kommunen. Parallellt med det löpande arbetet har vi arbetat med att hitta former för vår nya gemensamma organisation och våra nya roller. </w:t>
      </w: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Uppföljning och utvärdering av föreningens verksamhet i förhållande till verksamhetsplanen</w:t>
      </w:r>
    </w:p>
    <w:p w:rsidR="00000000" w:rsidDel="00000000" w:rsidP="00000000" w:rsidRDefault="00000000" w:rsidRPr="00000000" w14:paraId="0000000C">
      <w:pPr>
        <w:pStyle w:val="Heading3"/>
        <w:rPr/>
      </w:pPr>
      <w:r w:rsidDel="00000000" w:rsidR="00000000" w:rsidRPr="00000000">
        <w:rPr>
          <w:rtl w:val="0"/>
        </w:rPr>
        <w:t xml:space="preserve">Uppföljning av nedanstående beslutade fokusområden </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13504f" w:space="0" w:sz="4" w:val="single"/>
        </w:tblBorders>
        <w:tblLayout w:type="fixed"/>
        <w:tblLook w:val="0400"/>
      </w:tblPr>
      <w:tblGrid>
        <w:gridCol w:w="8494"/>
        <w:tblGridChange w:id="0">
          <w:tblGrid>
            <w:gridCol w:w="8494"/>
          </w:tblGrid>
        </w:tblGridChange>
      </w:tblGrid>
      <w:tr>
        <w:trPr>
          <w:cantSplit w:val="0"/>
          <w:tblHeader w:val="0"/>
        </w:trPr>
        <w:tc>
          <w:tcPr>
            <w:vAlign w:val="center"/>
          </w:tcPr>
          <w:p w:rsidR="00000000" w:rsidDel="00000000" w:rsidP="00000000" w:rsidRDefault="00000000" w:rsidRPr="00000000" w14:paraId="0000000D">
            <w:pPr>
              <w:pStyle w:val="Heading3"/>
              <w:rPr/>
            </w:pPr>
            <w:r w:rsidDel="00000000" w:rsidR="00000000" w:rsidRPr="00000000">
              <w:rPr>
                <w:rtl w:val="0"/>
              </w:rPr>
              <w:t xml:space="preserve">Fokusområden lokal nivå 2023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Sveriges Lärare har som målsättning på lokal nivå</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Att sätta mål och verka för lokala fackliga framgångar som förbättrar medlemmarnas vardagssituation på varje arbetsplats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Att verka för att stärka studie- och yrkesvägledare och lärare i olika skolformer i yrkesspecifika frågor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Att verka för att skolan och förskolan får ökade resurser i budgetarbete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Att öka den fackliga närvaron och den fackliga styrkan på arbetsplatserna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Att locka till engagemang och verka för att det finns ett eller flera välutbildade och kunniga ombud på varje arbetsplats där vi har medlemmar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Att öka organisationsgraden för Sveriges Lärare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tabs>
                <w:tab w:val="center" w:leader="none" w:pos="4536"/>
                <w:tab w:val="right" w:leader="none" w:pos="9072"/>
              </w:tabs>
              <w:ind w:left="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Lokalt p</w:t>
            </w:r>
            <w:r w:rsidDel="00000000" w:rsidR="00000000" w:rsidRPr="00000000">
              <w:rPr>
                <w:rFonts w:ascii="Times New Roman" w:cs="Times New Roman" w:eastAsia="Times New Roman" w:hAnsi="Times New Roman"/>
                <w:b w:val="1"/>
                <w:sz w:val="24"/>
                <w:szCs w:val="24"/>
                <w:rtl w:val="0"/>
              </w:rPr>
              <w:t xml:space="preserve">lanerade aktiviteter för Sveriges Lärare Timrå 2023:</w:t>
            </w:r>
            <w:r w:rsidDel="00000000" w:rsidR="00000000" w:rsidRPr="00000000">
              <w:rPr>
                <w:rtl w:val="0"/>
              </w:rPr>
            </w:r>
          </w:p>
          <w:p w:rsidR="00000000" w:rsidDel="00000000" w:rsidP="00000000" w:rsidRDefault="00000000" w:rsidRPr="00000000" w14:paraId="00000017">
            <w:pPr>
              <w:numPr>
                <w:ilvl w:val="0"/>
                <w:numId w:val="2"/>
              </w:numPr>
              <w:tabs>
                <w:tab w:val="center" w:leader="none" w:pos="4536"/>
                <w:tab w:val="right" w:leader="none" w:pos="9072"/>
              </w:tabs>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Uppsökande verksamhet</w:t>
            </w:r>
          </w:p>
          <w:p w:rsidR="00000000" w:rsidDel="00000000" w:rsidP="00000000" w:rsidRDefault="00000000" w:rsidRPr="00000000" w14:paraId="00000018">
            <w:pPr>
              <w:numPr>
                <w:ilvl w:val="0"/>
                <w:numId w:val="2"/>
              </w:numPr>
              <w:tabs>
                <w:tab w:val="center" w:leader="none" w:pos="4536"/>
                <w:tab w:val="right" w:leader="none" w:pos="9072"/>
              </w:tabs>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Opinionsbildande verksamhet</w:t>
            </w:r>
          </w:p>
          <w:p w:rsidR="00000000" w:rsidDel="00000000" w:rsidP="00000000" w:rsidRDefault="00000000" w:rsidRPr="00000000" w14:paraId="00000019">
            <w:pPr>
              <w:numPr>
                <w:ilvl w:val="0"/>
                <w:numId w:val="2"/>
              </w:numPr>
              <w:tabs>
                <w:tab w:val="center" w:leader="none" w:pos="4536"/>
                <w:tab w:val="right" w:leader="none" w:pos="9072"/>
              </w:tabs>
              <w:ind w:left="720" w:hanging="360"/>
              <w:jc w:val="left"/>
              <w:rPr>
                <w:sz w:val="24"/>
                <w:szCs w:val="24"/>
              </w:rPr>
            </w:pPr>
            <w:r w:rsidDel="00000000" w:rsidR="00000000" w:rsidRPr="00000000">
              <w:rPr>
                <w:rFonts w:ascii="Times New Roman" w:cs="Times New Roman" w:eastAsia="Times New Roman" w:hAnsi="Times New Roman"/>
                <w:sz w:val="24"/>
                <w:szCs w:val="24"/>
                <w:rtl w:val="0"/>
              </w:rPr>
              <w:t xml:space="preserve">Utbilda ombuden kontinuerligt i aktuella arbetsrättsliga frågor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sz w:val="26"/>
          <w:szCs w:val="26"/>
        </w:rPr>
      </w:pPr>
      <w:r w:rsidDel="00000000" w:rsidR="00000000" w:rsidRPr="00000000">
        <w:rPr>
          <w:sz w:val="26"/>
          <w:szCs w:val="26"/>
          <w:rtl w:val="0"/>
        </w:rPr>
        <w:t xml:space="preserve">Utvärdering av arbetet</w:t>
      </w:r>
    </w:p>
    <w:p w:rsidR="00000000" w:rsidDel="00000000" w:rsidP="00000000" w:rsidRDefault="00000000" w:rsidRPr="00000000" w14:paraId="0000001E">
      <w:pPr>
        <w:rPr>
          <w:sz w:val="22"/>
          <w:szCs w:val="22"/>
        </w:rPr>
      </w:pPr>
      <w:r w:rsidDel="00000000" w:rsidR="00000000" w:rsidRPr="00000000">
        <w:rPr>
          <w:sz w:val="22"/>
          <w:szCs w:val="22"/>
          <w:rtl w:val="0"/>
        </w:rPr>
        <w:t xml:space="preserve">Vi har under året påbörjat ett arbete med att besöka samtliga förskolor och skolor i kommunen. Detta arbete fortsätter vi under 2024 och målet är att alla förskolor och skolor ska ha fått besök av oss i styrelsen innan läsårets slut. </w:t>
      </w:r>
    </w:p>
    <w:p w:rsidR="00000000" w:rsidDel="00000000" w:rsidP="00000000" w:rsidRDefault="00000000" w:rsidRPr="00000000" w14:paraId="0000001F">
      <w:pPr>
        <w:rPr>
          <w:sz w:val="22"/>
          <w:szCs w:val="22"/>
          <w:highlight w:val="white"/>
        </w:rPr>
      </w:pPr>
      <w:r w:rsidDel="00000000" w:rsidR="00000000" w:rsidRPr="00000000">
        <w:rPr>
          <w:sz w:val="22"/>
          <w:szCs w:val="22"/>
          <w:rtl w:val="0"/>
        </w:rPr>
        <w:t xml:space="preserve">Under 2023 har vi haft ett antal träffar för våra lokala ombud, träffar där de har kunnat lyfta och diskutera frågor som varit aktuella på deras arbetsplatser. </w:t>
      </w:r>
      <w:r w:rsidDel="00000000" w:rsidR="00000000" w:rsidRPr="00000000">
        <w:rPr>
          <w:sz w:val="22"/>
          <w:szCs w:val="22"/>
          <w:highlight w:val="white"/>
          <w:rtl w:val="0"/>
        </w:rPr>
        <w:t xml:space="preserve">Vi har utvecklat kommunikationen genom att skaffa en telefon, regelbundet skickat ut nyhetsbrev, utökat kommunikationen i sociala medier samt skickat ut en enkät till alla medlemmar så att de har fått möjlighet att påverka det fackliga arbetet i kommunen.</w:t>
      </w:r>
    </w:p>
    <w:p w:rsidR="00000000" w:rsidDel="00000000" w:rsidP="00000000" w:rsidRDefault="00000000" w:rsidRPr="00000000" w14:paraId="00000020">
      <w:pPr>
        <w:rPr>
          <w:sz w:val="22"/>
          <w:szCs w:val="22"/>
          <w:highlight w:val="white"/>
        </w:rPr>
      </w:pPr>
      <w:r w:rsidDel="00000000" w:rsidR="00000000" w:rsidRPr="00000000">
        <w:rPr>
          <w:sz w:val="22"/>
          <w:szCs w:val="22"/>
          <w:highlight w:val="white"/>
          <w:rtl w:val="0"/>
        </w:rPr>
        <w:t xml:space="preserve">Vi har också varit representerade i distriktsrådet där vi träffat representanter från närliggande kommuners föreningsstyrelser. Distriktsrådet har haft fyra möten under året, två fysiska och två digitala.</w:t>
      </w:r>
    </w:p>
    <w:p w:rsidR="00000000" w:rsidDel="00000000" w:rsidP="00000000" w:rsidRDefault="00000000" w:rsidRPr="00000000" w14:paraId="00000021">
      <w:pPr>
        <w:rPr>
          <w:sz w:val="22"/>
          <w:szCs w:val="22"/>
          <w:highlight w:val="white"/>
        </w:rPr>
      </w:pPr>
      <w:r w:rsidDel="00000000" w:rsidR="00000000" w:rsidRPr="00000000">
        <w:rPr>
          <w:sz w:val="22"/>
          <w:szCs w:val="22"/>
          <w:highlight w:val="white"/>
          <w:rtl w:val="0"/>
        </w:rPr>
        <w:t xml:space="preserve">I Timrå kommun har Sveriges Lärare också varit en del av ett nytt fack-gemensamt samarbete där representanter från de olika fackliga organisationerna träffas regelbundet för att diskutera gemensamma frågor och samla facklig styrka gentemot vår arbetsgivare. </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Vi har utbildat flera nya ombud under 2023. Några har påbörjat sin utbildning och kommer att gå klart under 2024. </w:t>
      </w:r>
    </w:p>
    <w:p w:rsidR="00000000" w:rsidDel="00000000" w:rsidP="00000000" w:rsidRDefault="00000000" w:rsidRPr="00000000" w14:paraId="00000023">
      <w:pPr>
        <w:rPr>
          <w:sz w:val="22"/>
          <w:szCs w:val="22"/>
        </w:rPr>
      </w:pPr>
      <w:r w:rsidDel="00000000" w:rsidR="00000000" w:rsidRPr="00000000">
        <w:rPr>
          <w:sz w:val="22"/>
          <w:szCs w:val="22"/>
          <w:rtl w:val="0"/>
        </w:rPr>
        <w:t xml:space="preserve">Året avslutades med ett gemensamt julbord för samtliga medlemmar i restaurangskolans lokaler. Det var god uppslutning,  ca 150 medlemmar deltog.</w:t>
      </w:r>
    </w:p>
    <w:p w:rsidR="00000000" w:rsidDel="00000000" w:rsidP="00000000" w:rsidRDefault="00000000" w:rsidRPr="00000000" w14:paraId="00000024">
      <w:pPr>
        <w:rPr>
          <w:sz w:val="22"/>
          <w:szCs w:val="22"/>
        </w:rPr>
      </w:pPr>
      <w:r w:rsidDel="00000000" w:rsidR="00000000" w:rsidRPr="00000000">
        <w:rPr>
          <w:sz w:val="22"/>
          <w:szCs w:val="22"/>
          <w:rtl w:val="0"/>
        </w:rPr>
        <w:t xml:space="preserve">Sammantaget tycker vi att det har varit ett bra första år för Sveriges Lärare Timrå och vi har goda förhoppningar om en fortsatt positiv utveckling av arbetet under 2024. </w:t>
      </w:r>
    </w:p>
    <w:p w:rsidR="00000000" w:rsidDel="00000000" w:rsidP="00000000" w:rsidRDefault="00000000" w:rsidRPr="00000000" w14:paraId="00000025">
      <w:pPr>
        <w:spacing w:after="0" w:line="276" w:lineRule="auto"/>
        <w:ind w:right="80"/>
        <w:rPr>
          <w:b w:val="1"/>
          <w:sz w:val="22"/>
          <w:szCs w:val="22"/>
        </w:rPr>
      </w:pPr>
      <w:r w:rsidDel="00000000" w:rsidR="00000000" w:rsidRPr="00000000">
        <w:rPr>
          <w:b w:val="1"/>
          <w:sz w:val="22"/>
          <w:szCs w:val="22"/>
          <w:rtl w:val="0"/>
        </w:rPr>
        <w:t xml:space="preserve">Tillsammans gör vi skillnad!</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b w:val="1"/>
          <w:i w:val="1"/>
          <w:sz w:val="22"/>
          <w:szCs w:val="22"/>
        </w:rPr>
      </w:pPr>
      <w:r w:rsidDel="00000000" w:rsidR="00000000" w:rsidRPr="00000000">
        <w:rPr>
          <w:b w:val="1"/>
          <w:i w:val="1"/>
          <w:sz w:val="22"/>
          <w:szCs w:val="22"/>
          <w:rtl w:val="0"/>
        </w:rPr>
        <w:t xml:space="preserve">Anki Meander, </w:t>
      </w:r>
    </w:p>
    <w:p w:rsidR="00000000" w:rsidDel="00000000" w:rsidP="00000000" w:rsidRDefault="00000000" w:rsidRPr="00000000" w14:paraId="00000028">
      <w:pPr>
        <w:rPr>
          <w:b w:val="1"/>
          <w:i w:val="1"/>
          <w:sz w:val="22"/>
          <w:szCs w:val="22"/>
        </w:rPr>
      </w:pPr>
      <w:r w:rsidDel="00000000" w:rsidR="00000000" w:rsidRPr="00000000">
        <w:rPr>
          <w:b w:val="1"/>
          <w:i w:val="1"/>
          <w:sz w:val="22"/>
          <w:szCs w:val="22"/>
          <w:rtl w:val="0"/>
        </w:rPr>
        <w:t xml:space="preserve">Ordförande Sveriges Lärare Timrå</w:t>
      </w:r>
    </w:p>
    <w:sectPr>
      <w:headerReference r:id="rId6" w:type="first"/>
      <w:footerReference r:id="rId7" w:type="default"/>
      <w:footerReference r:id="rId8" w:type="first"/>
      <w:pgSz w:h="16838" w:w="11906" w:orient="portrait"/>
      <w:pgMar w:bottom="709" w:top="1276"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Geo">
    <w:embedRegular w:fontKey="{00000000-0000-0000-0000-000000000000}" r:id="rId1" w:subsetted="0"/>
    <w:embedItalic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36"/>
        <w:tab w:val="right" w:leader="none" w:pos="9072"/>
      </w:tabs>
      <w:spacing w:after="80" w:line="240" w:lineRule="auto"/>
      <w:rPr>
        <w:rFonts w:ascii="Quattrocento Sans" w:cs="Quattrocento Sans" w:eastAsia="Quattrocento Sans" w:hAnsi="Quattrocento Sans"/>
        <w:sz w:val="16"/>
        <w:szCs w:val="16"/>
      </w:rPr>
    </w:pPr>
    <w:r w:rsidDel="00000000" w:rsidR="00000000" w:rsidRPr="00000000">
      <w:rPr>
        <w:rtl w:val="0"/>
      </w:rPr>
    </w:r>
  </w:p>
  <w:tbl>
    <w:tblPr>
      <w:tblStyle w:val="Table3"/>
      <w:tblW w:w="8500.0" w:type="dxa"/>
      <w:jc w:val="left"/>
      <w:tblLayout w:type="fixed"/>
      <w:tblLook w:val="0400"/>
    </w:tblPr>
    <w:tblGrid>
      <w:gridCol w:w="1563"/>
      <w:gridCol w:w="6087"/>
      <w:gridCol w:w="850"/>
      <w:tblGridChange w:id="0">
        <w:tblGrid>
          <w:gridCol w:w="1563"/>
          <w:gridCol w:w="6087"/>
          <w:gridCol w:w="850"/>
        </w:tblGrid>
      </w:tblGridChange>
    </w:tblGrid>
    <w:tr>
      <w:trPr>
        <w:cantSplit w:val="0"/>
        <w:trHeight w:val="567" w:hRule="atLeast"/>
        <w:tblHeader w:val="0"/>
      </w:trPr>
      <w:tc>
        <w:tcPr>
          <w:vAlign w:val="bottom"/>
        </w:tcPr>
        <w:p w:rsidR="00000000" w:rsidDel="00000000" w:rsidP="00000000" w:rsidRDefault="00000000" w:rsidRPr="00000000" w14:paraId="0000002F">
          <w:pPr>
            <w:spacing w:after="0" w:lineRule="auto"/>
            <w:rPr/>
          </w:pPr>
          <w:r w:rsidDel="00000000" w:rsidR="00000000" w:rsidRPr="00000000">
            <w:rPr/>
            <w:drawing>
              <wp:inline distB="0" distT="0" distL="0" distR="0">
                <wp:extent cx="881632" cy="172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632" cy="1728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30">
          <w:pPr>
            <w:tabs>
              <w:tab w:val="center" w:leader="none" w:pos="4536"/>
              <w:tab w:val="right" w:leader="none" w:pos="9072"/>
            </w:tabs>
            <w:spacing w:after="100" w:line="24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6"/>
              <w:szCs w:val="16"/>
              <w:rtl w:val="0"/>
            </w:rPr>
            <w:t xml:space="preserve">Verksamhetsberättelse för 2023            Sveriges Lärare Timrå</w:t>
          </w:r>
          <w:r w:rsidDel="00000000" w:rsidR="00000000" w:rsidRPr="00000000">
            <w:rPr>
              <w:rtl w:val="0"/>
            </w:rPr>
          </w:r>
        </w:p>
      </w:tc>
      <w:tc>
        <w:tcPr>
          <w:vAlign w:val="bottom"/>
        </w:tcPr>
        <w:p w:rsidR="00000000" w:rsidDel="00000000" w:rsidP="00000000" w:rsidRDefault="00000000" w:rsidRPr="00000000" w14:paraId="00000031">
          <w:pPr>
            <w:tabs>
              <w:tab w:val="center" w:leader="none" w:pos="4536"/>
              <w:tab w:val="right" w:leader="none" w:pos="9072"/>
            </w:tabs>
            <w:spacing w:after="100" w:line="240" w:lineRule="auto"/>
            <w:jc w:val="right"/>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 [</w:t>
          </w:r>
          <w:r w:rsidDel="00000000" w:rsidR="00000000" w:rsidRPr="00000000">
            <w:rPr>
              <w:rFonts w:ascii="Quattrocento Sans" w:cs="Quattrocento Sans" w:eastAsia="Quattrocento Sans" w:hAnsi="Quattrocento Sans"/>
              <w:sz w:val="16"/>
              <w:szCs w:val="16"/>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sz w:val="16"/>
              <w:szCs w:val="16"/>
              <w:rtl w:val="0"/>
            </w:rPr>
            <w:t xml:space="preserve">]</w:t>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8505.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992"/>
      <w:tblGridChange w:id="0">
        <w:tblGrid>
          <w:gridCol w:w="7513"/>
          <w:gridCol w:w="992"/>
        </w:tblGrid>
      </w:tblGridChange>
    </w:tblGrid>
    <w:tr>
      <w:trPr>
        <w:cantSplit w:val="0"/>
        <w:tblHeader w:val="0"/>
      </w:trPr>
      <w:tc>
        <w:tcPr>
          <w:tcBorders>
            <w:top w:color="13504f"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40" w:before="40" w:line="240" w:lineRule="auto"/>
            <w:ind w:left="0" w:right="80" w:firstLine="0"/>
            <w:jc w:val="left"/>
            <w:rPr>
              <w:rFonts w:ascii="Quattrocento Sans" w:cs="Quattrocento Sans" w:eastAsia="Quattrocento Sans" w:hAnsi="Quattrocento Sans"/>
              <w:b w:val="1"/>
              <w:i w:val="0"/>
              <w:smallCaps w:val="0"/>
              <w:strike w:val="0"/>
              <w:color w:val="13504f"/>
              <w:sz w:val="16"/>
              <w:szCs w:val="16"/>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13504f"/>
              <w:sz w:val="16"/>
              <w:szCs w:val="16"/>
              <w:u w:val="none"/>
              <w:shd w:fill="auto" w:val="clear"/>
              <w:vertAlign w:val="baseline"/>
              <w:rtl w:val="0"/>
            </w:rPr>
            <w:t xml:space="preserve">Sveriges Lärare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Box 17061, 104 62 Stockholm • Peter Myndes backe 16, Stockholm • 077-515 05 00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sverigeslarare.se/kontakt • Bg 5932-4509 • Org. nr 802540-5542</w:t>
          </w:r>
        </w:p>
      </w:tc>
      <w:tc>
        <w:tcPr>
          <w:tcBorders>
            <w:top w:color="13504f" w:space="0" w:sz="4" w:val="single"/>
          </w:tcBorders>
          <w:vAlign w:val="bottom"/>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righ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79"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Georgia" w:cs="Georgia" w:eastAsia="Georgia" w:hAnsi="Georgia"/>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0065.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5251"/>
      <w:tblGridChange w:id="0">
        <w:tblGrid>
          <w:gridCol w:w="4814"/>
          <w:gridCol w:w="5251"/>
        </w:tblGrid>
      </w:tblGridChange>
    </w:tblGrid>
    <w:tr>
      <w:trPr>
        <w:cantSplit w:val="0"/>
        <w:tblHeader w:val="0"/>
      </w:trPr>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w:drawing>
              <wp:inline distB="0" distT="0" distL="0" distR="0">
                <wp:extent cx="2269797" cy="4448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9797" cy="44488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0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 mars 2024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4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Timrå</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720" w:before="0" w:line="240" w:lineRule="auto"/>
      <w:ind w:left="0" w:right="32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sv-SE"/>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spacing w:after="360" w:before="360" w:line="216" w:lineRule="auto"/>
      <w:jc w:val="left"/>
    </w:pPr>
    <w:rPr>
      <w:rFonts w:ascii="Century Gothic" w:cs="Century Gothic" w:eastAsia="Century Gothic" w:hAnsi="Century Gothic"/>
      <w:b w:val="1"/>
      <w:color w:val="4d7955"/>
      <w:sz w:val="44"/>
      <w:szCs w:val="44"/>
    </w:rPr>
  </w:style>
  <w:style w:type="paragraph" w:styleId="Heading2">
    <w:name w:val="heading 2"/>
    <w:basedOn w:val="Normal"/>
    <w:next w:val="Normal"/>
    <w:pPr>
      <w:keepNext w:val="1"/>
      <w:keepLines w:val="1"/>
      <w:pBdr>
        <w:bottom w:color="000000" w:space="0" w:sz="0" w:val="none"/>
      </w:pBdr>
      <w:spacing w:after="120" w:before="260" w:line="216" w:lineRule="auto"/>
      <w:jc w:val="left"/>
    </w:pPr>
    <w:rPr>
      <w:rFonts w:ascii="Quattrocento Sans" w:cs="Quattrocento Sans" w:eastAsia="Quattrocento Sans" w:hAnsi="Quattrocento Sans"/>
      <w:b w:val="1"/>
      <w:color w:val="000000"/>
      <w:sz w:val="28"/>
      <w:szCs w:val="28"/>
    </w:rPr>
  </w:style>
  <w:style w:type="paragraph" w:styleId="Heading3">
    <w:name w:val="heading 3"/>
    <w:basedOn w:val="Normal"/>
    <w:next w:val="Normal"/>
    <w:pPr>
      <w:keepNext w:val="1"/>
      <w:keepLines w:val="1"/>
      <w:pBdr>
        <w:bottom w:color="000000" w:space="0" w:sz="0" w:val="none"/>
      </w:pBdr>
      <w:spacing w:after="100" w:before="260" w:line="216" w:lineRule="auto"/>
      <w:jc w:val="left"/>
    </w:pPr>
    <w:rPr>
      <w:rFonts w:ascii="Quattrocento Sans" w:cs="Quattrocento Sans" w:eastAsia="Quattrocento Sans" w:hAnsi="Quattrocento Sans"/>
      <w:b w:val="1"/>
      <w:color w:val="000000"/>
      <w:sz w:val="23"/>
      <w:szCs w:val="23"/>
    </w:rPr>
  </w:style>
  <w:style w:type="paragraph" w:styleId="Heading4">
    <w:name w:val="heading 4"/>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color w:val="000000"/>
      <w:sz w:val="20"/>
      <w:szCs w:val="20"/>
    </w:rPr>
  </w:style>
  <w:style w:type="paragraph" w:styleId="Heading5">
    <w:name w:val="heading 5"/>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Heading6">
    <w:name w:val="heading 6"/>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Title">
    <w:name w:val="Title"/>
    <w:basedOn w:val="Normal"/>
    <w:next w:val="Normal"/>
    <w:pPr>
      <w:pBdr>
        <w:bottom w:color="4d7955" w:space="7" w:sz="18" w:val="single"/>
      </w:pBdr>
      <w:spacing w:after="240" w:line="1060" w:lineRule="auto"/>
      <w:jc w:val="center"/>
    </w:pPr>
    <w:rPr>
      <w:rFonts w:ascii="Century Gothic" w:cs="Century Gothic" w:eastAsia="Century Gothic" w:hAnsi="Century Gothic"/>
      <w:b w:val="1"/>
      <w:color w:val="4d7955"/>
      <w:sz w:val="96"/>
      <w:szCs w:val="96"/>
    </w:rPr>
  </w:style>
  <w:style w:type="paragraph" w:styleId="Subtitle">
    <w:name w:val="Subtitle"/>
    <w:basedOn w:val="Normal"/>
    <w:next w:val="Normal"/>
    <w:pPr>
      <w:pBdr>
        <w:bottom w:color="000000" w:space="0" w:sz="0" w:val="none"/>
      </w:pBdr>
      <w:spacing w:after="240" w:line="520" w:lineRule="auto"/>
      <w:jc w:val="center"/>
    </w:pPr>
    <w:rPr>
      <w:rFonts w:ascii="Geo" w:cs="Geo" w:eastAsia="Geo" w:hAnsi="Geo"/>
      <w:b w:val="0"/>
      <w:color w:val="4d7955"/>
      <w:sz w:val="44"/>
      <w:szCs w:val="44"/>
    </w:rPr>
  </w:style>
  <w:style w:type="table" w:styleId="Tab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style>
  <w:style w:type="table" w:styleId="Table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0.0" w:type="dxa"/>
        <w:bottom w:w="0.0" w:type="dxa"/>
        <w:right w:w="0.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QuattrocentoSans-regular.ttf"/><Relationship Id="rId4" Type="http://schemas.openxmlformats.org/officeDocument/2006/relationships/font" Target="fonts/QuattrocentoSans-bold.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0x01010069312716E71F3D44B0B6435525874069</vt:lpwstr>
  </property>
</Properties>
</file>